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71" w:rsidRPr="004B2771" w:rsidRDefault="00AB04D8" w:rsidP="004B2771">
      <w:pPr>
        <w:rPr>
          <w:rFonts w:ascii="Bookman Old Style" w:hAnsi="Bookman Old Style"/>
        </w:rPr>
      </w:pPr>
      <w:r w:rsidRPr="004B2771">
        <w:rPr>
          <w:rFonts w:ascii="Bookman Old Style" w:hAnsi="Bookman Old Style"/>
        </w:rPr>
        <w:t>Rok 2016 ogłoszono</w:t>
      </w:r>
    </w:p>
    <w:p w:rsidR="004B2771" w:rsidRPr="004B2771" w:rsidRDefault="00AB04D8" w:rsidP="004B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4B2771">
        <w:rPr>
          <w:rFonts w:ascii="Bookman Old Style" w:hAnsi="Bookman Old Style"/>
          <w:sz w:val="28"/>
          <w:szCs w:val="28"/>
        </w:rPr>
        <w:t xml:space="preserve">Rokiem </w:t>
      </w:r>
      <w:hyperlink r:id="rId5" w:tooltip="Henryk Sienkiewicz" w:history="1">
        <w:r w:rsidRPr="004B2771">
          <w:rPr>
            <w:rFonts w:ascii="Bookman Old Style" w:hAnsi="Bookman Old Style"/>
            <w:sz w:val="28"/>
            <w:szCs w:val="28"/>
          </w:rPr>
          <w:t>Henryka Sienkiewicza</w:t>
        </w:r>
      </w:hyperlink>
      <w:r w:rsidRPr="004B2771">
        <w:rPr>
          <w:rFonts w:ascii="Bookman Old Style" w:hAnsi="Bookman Old Style"/>
          <w:sz w:val="28"/>
          <w:szCs w:val="28"/>
        </w:rPr>
        <w:t xml:space="preserve"> (</w:t>
      </w:r>
      <w:r w:rsidRPr="004B2771">
        <w:rPr>
          <w:rFonts w:ascii="Bookman Old Style" w:hAnsi="Bookman Old Style"/>
          <w:i/>
          <w:iCs/>
          <w:sz w:val="28"/>
          <w:szCs w:val="28"/>
        </w:rPr>
        <w:t>w 100. rocznicę śmierci oraz 170. rocznicę urodzin</w:t>
      </w:r>
      <w:r w:rsidRPr="004B2771">
        <w:rPr>
          <w:rFonts w:ascii="Bookman Old Style" w:hAnsi="Bookman Old Style"/>
          <w:sz w:val="28"/>
          <w:szCs w:val="28"/>
        </w:rPr>
        <w:t xml:space="preserve">) </w:t>
      </w:r>
    </w:p>
    <w:p w:rsidR="004B2771" w:rsidRPr="004B2771" w:rsidRDefault="00AB04D8" w:rsidP="004B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4B2771">
        <w:rPr>
          <w:rFonts w:ascii="Bookman Old Style" w:hAnsi="Bookman Old Style"/>
          <w:sz w:val="28"/>
          <w:szCs w:val="28"/>
        </w:rPr>
        <w:t xml:space="preserve">Rokiem Jubileuszu </w:t>
      </w:r>
      <w:hyperlink r:id="rId6" w:tooltip="Obchody 1050-lecia chrztu Polski" w:history="1">
        <w:r w:rsidRPr="004B2771">
          <w:rPr>
            <w:rFonts w:ascii="Bookman Old Style" w:hAnsi="Bookman Old Style"/>
            <w:sz w:val="28"/>
            <w:szCs w:val="28"/>
          </w:rPr>
          <w:t>1050-lecia chrztu Polski</w:t>
        </w:r>
      </w:hyperlink>
    </w:p>
    <w:p w:rsidR="004B2771" w:rsidRPr="004B2771" w:rsidRDefault="00AB04D8" w:rsidP="004B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4B2771">
        <w:rPr>
          <w:rFonts w:ascii="Bookman Old Style" w:hAnsi="Bookman Old Style"/>
          <w:sz w:val="28"/>
          <w:szCs w:val="28"/>
        </w:rPr>
        <w:t xml:space="preserve">Rokiem </w:t>
      </w:r>
      <w:hyperlink r:id="rId7" w:tooltip="Feliks Nowowiejski" w:history="1">
        <w:r w:rsidRPr="004B2771">
          <w:rPr>
            <w:rFonts w:ascii="Bookman Old Style" w:hAnsi="Bookman Old Style"/>
            <w:sz w:val="28"/>
            <w:szCs w:val="28"/>
          </w:rPr>
          <w:t>Feliksa Nowowiejskiego</w:t>
        </w:r>
      </w:hyperlink>
      <w:r w:rsidRPr="004B2771">
        <w:rPr>
          <w:rFonts w:ascii="Bookman Old Style" w:hAnsi="Bookman Old Style"/>
          <w:sz w:val="28"/>
          <w:szCs w:val="28"/>
        </w:rPr>
        <w:t xml:space="preserve"> (</w:t>
      </w:r>
      <w:r w:rsidRPr="004B2771">
        <w:rPr>
          <w:rFonts w:ascii="Bookman Old Style" w:hAnsi="Bookman Old Style"/>
          <w:i/>
          <w:iCs/>
          <w:sz w:val="28"/>
          <w:szCs w:val="28"/>
        </w:rPr>
        <w:t>w 70. rocznicę śmierci</w:t>
      </w:r>
      <w:r w:rsidRPr="004B2771">
        <w:rPr>
          <w:rFonts w:ascii="Bookman Old Style" w:hAnsi="Bookman Old Style"/>
          <w:sz w:val="28"/>
          <w:szCs w:val="28"/>
        </w:rPr>
        <w:t xml:space="preserve">) </w:t>
      </w:r>
    </w:p>
    <w:p w:rsidR="004B2771" w:rsidRPr="004B2771" w:rsidRDefault="00AB04D8" w:rsidP="004B2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4B2771">
        <w:rPr>
          <w:rFonts w:ascii="Bookman Old Style" w:hAnsi="Bookman Old Style"/>
          <w:sz w:val="28"/>
          <w:szCs w:val="28"/>
        </w:rPr>
        <w:t xml:space="preserve">Rokiem </w:t>
      </w:r>
      <w:hyperlink r:id="rId8" w:tooltip="Cichociemni" w:history="1">
        <w:r w:rsidRPr="004B2771">
          <w:rPr>
            <w:rFonts w:ascii="Bookman Old Style" w:hAnsi="Bookman Old Style"/>
            <w:sz w:val="28"/>
            <w:szCs w:val="28"/>
          </w:rPr>
          <w:t>Cichociemnych</w:t>
        </w:r>
      </w:hyperlink>
    </w:p>
    <w:p w:rsidR="004B2771" w:rsidRPr="004B2771" w:rsidRDefault="00AB04D8" w:rsidP="004B2771">
      <w:pPr>
        <w:rPr>
          <w:rFonts w:ascii="Book Antiqua" w:hAnsi="Book Antiqua"/>
          <w:sz w:val="24"/>
          <w:szCs w:val="24"/>
        </w:rPr>
      </w:pPr>
      <w:r w:rsidRPr="00CE5896">
        <w:rPr>
          <w:rFonts w:ascii="Book Antiqua" w:hAnsi="Book Antiqua"/>
          <w:b/>
          <w:sz w:val="56"/>
          <w:szCs w:val="56"/>
          <w:u w:val="single"/>
        </w:rPr>
        <w:t>Henryk Sienkiewicz,</w:t>
      </w:r>
      <w:r w:rsidRPr="004B2771">
        <w:rPr>
          <w:rFonts w:ascii="Book Antiqua" w:hAnsi="Book Antiqua"/>
          <w:sz w:val="24"/>
          <w:szCs w:val="24"/>
        </w:rPr>
        <w:t xml:space="preserve"> laureat nagrody Nobla w dziedzinie literatury, autor "Trylogii", oraz wybitny kompozytor Feliks Nowowiejski, autor mu</w:t>
      </w:r>
      <w:r w:rsidRPr="004B2771">
        <w:rPr>
          <w:rFonts w:ascii="Book Antiqua" w:hAnsi="Book Antiqua"/>
          <w:sz w:val="24"/>
          <w:szCs w:val="24"/>
        </w:rPr>
        <w:t xml:space="preserve">zyki do "Roty" </w:t>
      </w:r>
    </w:p>
    <w:p w:rsidR="004B2771" w:rsidRPr="004B2771" w:rsidRDefault="00AB04D8" w:rsidP="004B2771">
      <w:pPr>
        <w:rPr>
          <w:rFonts w:ascii="Book Antiqua" w:hAnsi="Book Antiqua"/>
          <w:sz w:val="24"/>
          <w:szCs w:val="24"/>
        </w:rPr>
      </w:pPr>
      <w:r w:rsidRPr="004B277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53125" cy="4667250"/>
            <wp:effectExtent l="19050" t="0" r="9525" b="0"/>
            <wp:docPr id="2" name="Obraz 1" descr="Henryk Sien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k Sienkiewi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771">
        <w:rPr>
          <w:rFonts w:ascii="Book Antiqua" w:hAnsi="Book Antiqua"/>
          <w:sz w:val="24"/>
          <w:szCs w:val="24"/>
        </w:rPr>
        <w:t xml:space="preserve">Henryk Sienkiewicz </w:t>
      </w: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B2771">
        <w:rPr>
          <w:rFonts w:ascii="Book Antiqua" w:hAnsi="Book Antiqua"/>
          <w:sz w:val="24"/>
          <w:szCs w:val="24"/>
        </w:rPr>
        <w:t>W uchwale podkreślono, że Sienkiewicz to "pierwszy Polak uhonorowany Nagrodą Nobla w dziedzinie literatury, doceniony za całokształt twórczości". "Jego powieści historyczne podtrzymywały na duchu kolejne pokolenia Polak</w:t>
      </w:r>
      <w:r w:rsidRPr="004B2771">
        <w:rPr>
          <w:rFonts w:ascii="Book Antiqua" w:hAnsi="Book Antiqua"/>
          <w:sz w:val="24"/>
          <w:szCs w:val="24"/>
        </w:rPr>
        <w:t xml:space="preserve">ów w czasach narodowych niedoli" - czytamy. </w:t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sz w:val="24"/>
          <w:szCs w:val="24"/>
        </w:rPr>
        <w:lastRenderedPageBreak/>
        <w:t>"Twórczość Henryka Sienkiewicza, działalność społeczna i nieustanne orędownictwo za niepodległym państwem polskim odegrały niezwykle istotną rolę w odzyskaniu przez Polskę państwowości. Niech Sienkiewiczowska s</w:t>
      </w:r>
      <w:r w:rsidRPr="004B2771">
        <w:rPr>
          <w:rFonts w:ascii="Book Antiqua" w:hAnsi="Book Antiqua"/>
          <w:sz w:val="24"/>
          <w:szCs w:val="24"/>
        </w:rPr>
        <w:t>puścizna stanowi podstawę patriotycznego wychowania młodych pokoleń Polaków" - głosi uchwała. Przytoczono w niej też słowa Stanisława Cata-Mackiewicza, który napisał o Sienkiew</w:t>
      </w:r>
      <w:r>
        <w:rPr>
          <w:rFonts w:ascii="Book Antiqua" w:hAnsi="Book Antiqua"/>
          <w:sz w:val="24"/>
          <w:szCs w:val="24"/>
        </w:rPr>
        <w:t>i</w:t>
      </w:r>
      <w:r w:rsidRPr="004B2771">
        <w:rPr>
          <w:rFonts w:ascii="Book Antiqua" w:hAnsi="Book Antiqua"/>
          <w:sz w:val="24"/>
          <w:szCs w:val="24"/>
        </w:rPr>
        <w:t xml:space="preserve">czu: "My wszyscy z niego". </w:t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b/>
          <w:bCs/>
          <w:sz w:val="24"/>
          <w:szCs w:val="24"/>
        </w:rPr>
        <w:t xml:space="preserve">Nobel za całokształt twórczości </w:t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sz w:val="24"/>
          <w:szCs w:val="24"/>
        </w:rPr>
        <w:t xml:space="preserve">Henryk Adam Aleksander Pius Sienkiewicz herbu </w:t>
      </w:r>
      <w:proofErr w:type="spellStart"/>
      <w:r w:rsidRPr="004B2771">
        <w:rPr>
          <w:rFonts w:ascii="Book Antiqua" w:hAnsi="Book Antiqua"/>
          <w:sz w:val="24"/>
          <w:szCs w:val="24"/>
        </w:rPr>
        <w:t>Oszyk</w:t>
      </w:r>
      <w:proofErr w:type="spellEnd"/>
      <w:r w:rsidRPr="004B2771">
        <w:rPr>
          <w:rFonts w:ascii="Book Antiqua" w:hAnsi="Book Antiqua"/>
          <w:sz w:val="24"/>
          <w:szCs w:val="24"/>
        </w:rPr>
        <w:t xml:space="preserve">, pseudonim </w:t>
      </w:r>
      <w:proofErr w:type="spellStart"/>
      <w:r w:rsidRPr="004B2771">
        <w:rPr>
          <w:rFonts w:ascii="Book Antiqua" w:hAnsi="Book Antiqua"/>
          <w:sz w:val="24"/>
          <w:szCs w:val="24"/>
        </w:rPr>
        <w:t>Litwos</w:t>
      </w:r>
      <w:proofErr w:type="spellEnd"/>
      <w:r w:rsidRPr="004B2771">
        <w:rPr>
          <w:rFonts w:ascii="Book Antiqua" w:hAnsi="Book Antiqua"/>
          <w:sz w:val="24"/>
          <w:szCs w:val="24"/>
        </w:rPr>
        <w:t xml:space="preserve"> (ur. 5 maja 1846 w Woli Okrzejskiej, zm. 15 listopada 1916 w </w:t>
      </w:r>
      <w:proofErr w:type="spellStart"/>
      <w:r w:rsidRPr="004B2771">
        <w:rPr>
          <w:rFonts w:ascii="Book Antiqua" w:hAnsi="Book Antiqua"/>
          <w:sz w:val="24"/>
          <w:szCs w:val="24"/>
        </w:rPr>
        <w:t>Vevey</w:t>
      </w:r>
      <w:proofErr w:type="spellEnd"/>
      <w:r w:rsidRPr="004B2771">
        <w:rPr>
          <w:rFonts w:ascii="Book Antiqua" w:hAnsi="Book Antiqua"/>
          <w:sz w:val="24"/>
          <w:szCs w:val="24"/>
        </w:rPr>
        <w:t xml:space="preserve">) to jeden z najpopularniejszych polskich pisarzy, autor cyklu "Trylogia", powieści "Krzyżacy", "Quo </w:t>
      </w:r>
      <w:proofErr w:type="spellStart"/>
      <w:r w:rsidRPr="004B2771">
        <w:rPr>
          <w:rFonts w:ascii="Book Antiqua" w:hAnsi="Book Antiqua"/>
          <w:sz w:val="24"/>
          <w:szCs w:val="24"/>
        </w:rPr>
        <w:t>vadis</w:t>
      </w:r>
      <w:proofErr w:type="spellEnd"/>
      <w:r w:rsidRPr="004B2771">
        <w:rPr>
          <w:rFonts w:ascii="Book Antiqua" w:hAnsi="Book Antiqua"/>
          <w:sz w:val="24"/>
          <w:szCs w:val="24"/>
        </w:rPr>
        <w:t>", "Rodzina Po</w:t>
      </w:r>
      <w:r w:rsidRPr="004B2771">
        <w:rPr>
          <w:rFonts w:ascii="Book Antiqua" w:hAnsi="Book Antiqua"/>
          <w:sz w:val="24"/>
          <w:szCs w:val="24"/>
        </w:rPr>
        <w:t xml:space="preserve">łanieckich", "W pustyni i puszczy". Wśród jego dzieł znajdują się też nowele (m.in. "Janko Muzykant", "Latarnik"), a także reportaże. </w:t>
      </w:r>
      <w:r w:rsidRPr="004B2771">
        <w:rPr>
          <w:rFonts w:ascii="Book Antiqua" w:hAnsi="Book Antiqua"/>
          <w:sz w:val="24"/>
          <w:szCs w:val="24"/>
        </w:rPr>
        <w:br/>
      </w:r>
      <w:r w:rsidRPr="004B2771">
        <w:rPr>
          <w:rFonts w:ascii="Book Antiqua" w:hAnsi="Book Antiqua"/>
          <w:sz w:val="24"/>
          <w:szCs w:val="24"/>
        </w:rPr>
        <w:br/>
        <w:t>Odbierając w grudniu 1905 roku Nobla za całokształt twórczości Sienkiewicz mówił, że zaszczyt ten jest szczególnie cenny</w:t>
      </w:r>
      <w:r w:rsidRPr="004B2771">
        <w:rPr>
          <w:rFonts w:ascii="Book Antiqua" w:hAnsi="Book Antiqua"/>
          <w:sz w:val="24"/>
          <w:szCs w:val="24"/>
        </w:rPr>
        <w:t xml:space="preserve"> dla syna Polski. - Głoszono ją umarłą, a oto jeden z tysięcznych dowodów, że żyje. Głoszono ją podbitą, a oto nowy dowód, że umie zwyciężać - powiedział </w:t>
      </w:r>
      <w:hyperlink r:id="rId10" w:history="1">
        <w:r w:rsidRPr="004B2771">
          <w:rPr>
            <w:rFonts w:ascii="Book Antiqua" w:hAnsi="Book Antiqua"/>
            <w:sz w:val="24"/>
            <w:szCs w:val="24"/>
          </w:rPr>
          <w:t>pisarz</w:t>
        </w:r>
      </w:hyperlink>
      <w:r w:rsidRPr="004B2771">
        <w:rPr>
          <w:rFonts w:ascii="Book Antiqua" w:hAnsi="Book Antiqua"/>
          <w:sz w:val="24"/>
          <w:szCs w:val="24"/>
        </w:rPr>
        <w:t xml:space="preserve">. </w:t>
      </w:r>
      <w:r>
        <w:br/>
      </w:r>
      <w:r>
        <w:br/>
      </w: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CE5896" w:rsidRDefault="00AB04D8" w:rsidP="004B2771">
      <w:pPr>
        <w:spacing w:after="240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B2771" w:rsidRDefault="00AB04D8" w:rsidP="004B2771">
      <w:pPr>
        <w:spacing w:after="240"/>
      </w:pPr>
      <w:r w:rsidRPr="004B2771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Wybitny kompozytor</w:t>
      </w:r>
      <w:r w:rsidRPr="004B2771">
        <w:rPr>
          <w:rFonts w:ascii="Bookman Old Style" w:hAnsi="Bookman Old Style"/>
          <w:b/>
          <w:sz w:val="36"/>
          <w:szCs w:val="36"/>
          <w:u w:val="single"/>
        </w:rPr>
        <w:t xml:space="preserve">  </w:t>
      </w:r>
      <w:r w:rsidRPr="004B2771">
        <w:rPr>
          <w:rFonts w:ascii="Bookman Old Style" w:hAnsi="Bookman Old Style"/>
          <w:b/>
          <w:sz w:val="36"/>
          <w:szCs w:val="36"/>
          <w:u w:val="single"/>
        </w:rPr>
        <w:t>Feliks Nowowiejski, autor muzyki do "Roty"</w:t>
      </w:r>
      <w:r>
        <w:t xml:space="preserve"> </w:t>
      </w:r>
    </w:p>
    <w:p w:rsidR="003A6362" w:rsidRDefault="00AB04D8" w:rsidP="004B2771">
      <w:pPr>
        <w:spacing w:after="240"/>
      </w:pPr>
      <w:r>
        <w:rPr>
          <w:noProof/>
        </w:rPr>
        <w:drawing>
          <wp:inline distT="0" distB="0" distL="0" distR="0">
            <wp:extent cx="6048375" cy="3905250"/>
            <wp:effectExtent l="19050" t="0" r="9525" b="0"/>
            <wp:docPr id="5" name="Obraz 2" descr="C:\Documents and Settings\Bibliotekarz\Pulpit\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bliotekarz\Pulpit\f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71" w:rsidRDefault="00AB04D8" w:rsidP="004B2771">
      <w:pPr>
        <w:spacing w:after="0"/>
        <w:rPr>
          <w:rFonts w:ascii="Book Antiqua" w:hAnsi="Book Antiqua"/>
        </w:rPr>
      </w:pPr>
      <w:r>
        <w:br/>
      </w:r>
      <w:r w:rsidRPr="004B2771">
        <w:rPr>
          <w:rFonts w:ascii="Book Antiqua" w:hAnsi="Book Antiqua"/>
        </w:rPr>
        <w:t>"Sejm ustanawia Feliksa Nowowiejskiego patronem 2016 r. w przekonaniu o szczególnym znaczeniu dorobku tego wybitnego kompozytora, dyrygenta, pedagoga, organisty wirtuoza, organizatora życia muzycznego i szambe</w:t>
      </w:r>
      <w:r w:rsidRPr="004B2771">
        <w:rPr>
          <w:rFonts w:ascii="Book Antiqua" w:hAnsi="Book Antiqua"/>
        </w:rPr>
        <w:t xml:space="preserve">lana papieskiego" - głosi uchwała, przygotowana przez posłów PSL.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  <w:t>"Artysta był autorem wielu pieśni patriotycznych, które umacniały tożsamość narodową Polaków. W niepodległej Polsce brał czynny udział w tworzeniu i organizowaniu życia artystycznego. (...</w:t>
      </w:r>
      <w:r w:rsidRPr="004B2771">
        <w:rPr>
          <w:rFonts w:ascii="Book Antiqua" w:hAnsi="Book Antiqua"/>
        </w:rPr>
        <w:t xml:space="preserve">) Jego dorobek wywarł wpływ na kulturę muzyczną całego świata, a w szczególności Polski. Artysta zawsze stał po stronie polskości i polskiej kultury" - czytamy w uchwale.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  <w:t xml:space="preserve">W przyszłym roku przypada 70. rocznica śmierci, a </w:t>
      </w:r>
      <w:hyperlink r:id="rId12" w:history="1">
        <w:r w:rsidRPr="003A6362">
          <w:rPr>
            <w:rFonts w:ascii="Book Antiqua" w:hAnsi="Book Antiqua"/>
          </w:rPr>
          <w:t>rok</w:t>
        </w:r>
      </w:hyperlink>
      <w:r w:rsidRPr="004B2771">
        <w:rPr>
          <w:rFonts w:ascii="Book Antiqua" w:hAnsi="Book Antiqua"/>
        </w:rPr>
        <w:t xml:space="preserve"> później - w 2017 r. - 140. rocznica urodzin twórcy.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  <w:b/>
          <w:bCs/>
        </w:rPr>
        <w:t>Autor muzyki do "Roty"</w:t>
      </w:r>
      <w:r w:rsidRPr="004B2771">
        <w:rPr>
          <w:rFonts w:ascii="Book Antiqua" w:hAnsi="Book Antiqua"/>
        </w:rPr>
        <w:t xml:space="preserve">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  <w:t xml:space="preserve">Feliks Nowowiejski jest m.in. autorem muzyki do "Roty" Marii Konopnickiej. W 500. rocznicę Bitwy pod Grunwaldem, 15 lipca 1910 r. utwór został po </w:t>
      </w:r>
      <w:r w:rsidRPr="004B2771">
        <w:rPr>
          <w:rFonts w:ascii="Book Antiqua" w:hAnsi="Book Antiqua"/>
        </w:rPr>
        <w:t xml:space="preserve">raz pierwszy wykonany przed pomnikiem Grunwaldzkim w Krakowie przez chór pod batutą kompozytora.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lastRenderedPageBreak/>
        <w:br/>
        <w:t xml:space="preserve">Feliks Nowowiejski urodził się 7 lutego 1877 roku w </w:t>
      </w:r>
      <w:proofErr w:type="spellStart"/>
      <w:r w:rsidRPr="004B2771">
        <w:rPr>
          <w:rFonts w:ascii="Book Antiqua" w:hAnsi="Book Antiqua"/>
        </w:rPr>
        <w:t>Wartemborku</w:t>
      </w:r>
      <w:proofErr w:type="spellEnd"/>
      <w:r w:rsidRPr="004B2771">
        <w:rPr>
          <w:rFonts w:ascii="Book Antiqua" w:hAnsi="Book Antiqua"/>
        </w:rPr>
        <w:t>, obecnie Barczewie, kształcił się muzycznie w Berlinie i Ratyzbonie. W 1909 roku osiadł w Kra</w:t>
      </w:r>
      <w:r w:rsidRPr="004B2771">
        <w:rPr>
          <w:rFonts w:ascii="Book Antiqua" w:hAnsi="Book Antiqua"/>
        </w:rPr>
        <w:t xml:space="preserve">kowie, gdzie był dyrektorem artystycznym Towarzystwa Muzycznego.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  <w:t xml:space="preserve">Po I wojnie osiadł w Poznaniu i włączył się w nurt odradzającego się życia kulturalnego miasta - organizował koncerty symfoniczne i chóralne, występował z recitalami organowymi. Od 1920 r. </w:t>
      </w:r>
      <w:r w:rsidRPr="004B2771">
        <w:rPr>
          <w:rFonts w:ascii="Book Antiqua" w:hAnsi="Book Antiqua"/>
        </w:rPr>
        <w:t xml:space="preserve">był wykładowcą w Państwowym Konserwatorium w Poznaniu, gdzie prowadził klasę organów i dyrygował orkiestrą.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  <w:t>Wśród jego najwybitniejszych dzieł są m.in. marsz "Pod sztandarem pokoju", oratorium "Powrót syna marnotrawnego", uwertura "Swaty polskie", "Poema</w:t>
      </w:r>
      <w:r w:rsidRPr="004B2771">
        <w:rPr>
          <w:rFonts w:ascii="Book Antiqua" w:hAnsi="Book Antiqua"/>
        </w:rPr>
        <w:t xml:space="preserve">ty symfoniczne", oratorium "Znalezienie Świętego Krzyża", oratorium "Quo </w:t>
      </w:r>
      <w:proofErr w:type="spellStart"/>
      <w:r w:rsidRPr="004B2771">
        <w:rPr>
          <w:rFonts w:ascii="Book Antiqua" w:hAnsi="Book Antiqua"/>
        </w:rPr>
        <w:t>vadis</w:t>
      </w:r>
      <w:proofErr w:type="spellEnd"/>
      <w:r w:rsidRPr="004B2771">
        <w:rPr>
          <w:rFonts w:ascii="Book Antiqua" w:hAnsi="Book Antiqua"/>
        </w:rPr>
        <w:t xml:space="preserve">", pieśń "Marsylianka wielkopolska", opera "Legenda Bałtyku", utwory organowe i fortepianowe oraz liczne utwory wokalne i chóralne (w tym ok. 600 pieśni). </w:t>
      </w:r>
      <w:r w:rsidRPr="004B2771">
        <w:rPr>
          <w:rFonts w:ascii="Book Antiqua" w:hAnsi="Book Antiqua"/>
        </w:rPr>
        <w:br/>
      </w:r>
      <w:r w:rsidRPr="004B2771">
        <w:rPr>
          <w:rFonts w:ascii="Book Antiqua" w:hAnsi="Book Antiqua"/>
        </w:rPr>
        <w:br/>
        <w:t>Feliks Nowowiejski zm</w:t>
      </w:r>
      <w:r w:rsidRPr="004B2771">
        <w:rPr>
          <w:rFonts w:ascii="Book Antiqua" w:hAnsi="Book Antiqua"/>
        </w:rPr>
        <w:t>arł 18 stycznia 1946 w Poznaniu. W uchwale przyjętej we wtorek przez Sejm podkreślono też, że do spuścizny Nowowiejskiego wciąż odwołują się liczni twórcy. W domu rodzinnym kompozytora od 1961 r. znajduje się muzeum noszące nazwę Salonu Muzycznego im. Feli</w:t>
      </w:r>
      <w:r w:rsidRPr="004B2771">
        <w:rPr>
          <w:rFonts w:ascii="Book Antiqua" w:hAnsi="Book Antiqua"/>
        </w:rPr>
        <w:t xml:space="preserve">ksa Nowowiejskiego w Barczewie. W jego zbiorach znajduje się wiele cennych, oryginalnych pamiątek z życia i twórczości Nowowiejskiego, takich jak m.in. jego fortepian, meble, rękopisy i wiele dokumentów. </w:t>
      </w: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Default="00AB04D8" w:rsidP="004B2771">
      <w:pPr>
        <w:spacing w:after="0"/>
        <w:rPr>
          <w:rFonts w:ascii="Book Antiqua" w:hAnsi="Book Antiqua"/>
        </w:rPr>
      </w:pPr>
    </w:p>
    <w:p w:rsidR="00CE5896" w:rsidRPr="004B2771" w:rsidRDefault="00AB04D8" w:rsidP="004B2771">
      <w:pPr>
        <w:spacing w:after="0"/>
        <w:rPr>
          <w:rFonts w:ascii="Book Antiqua" w:hAnsi="Book Antiqua"/>
        </w:rPr>
      </w:pPr>
    </w:p>
    <w:p w:rsidR="003A6362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24550" cy="1685925"/>
            <wp:effectExtent l="19050" t="0" r="0" b="0"/>
            <wp:docPr id="8" name="Obraz 5" descr="C:\Documents and Settings\Bibliotekarz\Pulpit\Chrz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ibliotekarz\Pulpit\Chrze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62" w:rsidRPr="003A6362" w:rsidRDefault="00AB04D8" w:rsidP="003A6362">
      <w:pPr>
        <w:spacing w:before="100" w:beforeAutospacing="1" w:after="100" w:afterAutospacing="1"/>
        <w:rPr>
          <w:rFonts w:ascii="Book Antiqua" w:eastAsia="Times New Roman" w:hAnsi="Book Antiqua" w:cs="Times New Roman"/>
          <w:sz w:val="24"/>
          <w:szCs w:val="24"/>
        </w:rPr>
      </w:pPr>
      <w:r w:rsidRPr="003A6362">
        <w:rPr>
          <w:rFonts w:ascii="Book Antiqua" w:eastAsia="Times New Roman" w:hAnsi="Book Antiqua" w:cs="Times New Roman"/>
          <w:b/>
          <w:sz w:val="40"/>
          <w:szCs w:val="40"/>
        </w:rPr>
        <w:t>Chrzest księcia Polan, Mieszka I</w:t>
      </w:r>
      <w:r w:rsidRPr="003A636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Pr="003A6362">
        <w:rPr>
          <w:rFonts w:ascii="Book Antiqua" w:eastAsia="Times New Roman" w:hAnsi="Book Antiqua" w:cs="Times New Roman"/>
          <w:sz w:val="24"/>
          <w:szCs w:val="24"/>
        </w:rPr>
        <w:t xml:space="preserve">był jednym z przełomowych wydarzeń w historii Polski i Polaków. Ponieważ jednak relacje z tych wczesnych wieków są bardzo skromne, wielu rzeczy możemy się tylko domyślać. Chrzest odbył się prawdopodobnie w Wielką Sobotę - zgodnie z ówczesnym zwyczajem - w </w:t>
      </w:r>
      <w:r w:rsidRPr="003A6362">
        <w:rPr>
          <w:rFonts w:ascii="Book Antiqua" w:eastAsia="Times New Roman" w:hAnsi="Book Antiqua" w:cs="Times New Roman"/>
          <w:sz w:val="24"/>
          <w:szCs w:val="24"/>
        </w:rPr>
        <w:t>nocy oczekiwania na Zmartwychwstanie Pańskie. Znaleziska archeologiczne sugerują, że mógł on nastąpić na wyspie Ostrów Lednicki, koło grodu gnieźnieńskiego, głównej siedziby rodu Piastów. Znaleziono tam basen chrzcielny, w którym swobodnie mógł zmieścić si</w:t>
      </w:r>
      <w:r w:rsidRPr="003A6362">
        <w:rPr>
          <w:rFonts w:ascii="Book Antiqua" w:eastAsia="Times New Roman" w:hAnsi="Book Antiqua" w:cs="Times New Roman"/>
          <w:sz w:val="24"/>
          <w:szCs w:val="24"/>
        </w:rPr>
        <w:t>ę dorosły człowiek. Przypuszcza się, że razem z księciem ochrzczony został jego dwór.</w:t>
      </w:r>
      <w:r w:rsidRPr="00CE5896">
        <w:rPr>
          <w:rFonts w:ascii="Book Antiqua" w:eastAsia="Times New Roman" w:hAnsi="Book Antiqua" w:cs="Times New Roman"/>
          <w:b/>
          <w:noProof/>
          <w:sz w:val="40"/>
          <w:szCs w:val="40"/>
        </w:rPr>
        <w:t xml:space="preserve"> </w:t>
      </w:r>
      <w:r w:rsidRPr="00CE589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>
            <wp:extent cx="5760720" cy="1972722"/>
            <wp:effectExtent l="19050" t="0" r="0" b="0"/>
            <wp:docPr id="9" name="Obraz 4" descr="C:\Documents and Settings\Bibliotekarz\Pulpit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bliotekarz\Pulpit\cc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62" w:rsidRPr="003A6362" w:rsidRDefault="00AB04D8" w:rsidP="003A6362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sz w:val="36"/>
          <w:szCs w:val="36"/>
        </w:rPr>
      </w:pPr>
      <w:r w:rsidRPr="003A6362">
        <w:rPr>
          <w:rFonts w:ascii="Book Antiqua" w:eastAsia="Times New Roman" w:hAnsi="Book Antiqua" w:cs="Times New Roman"/>
          <w:sz w:val="24"/>
          <w:szCs w:val="24"/>
        </w:rPr>
        <w:t>Kronikarz z XII w., Gall Anonim, twierdzi, że do przyjęcia chrześcijaństwa z Zachodu namówiła Mieszka jego żona, córka księcia czeskiego, Dobrawa. Książę zawarł z nią m</w:t>
      </w:r>
      <w:r w:rsidRPr="003A6362">
        <w:rPr>
          <w:rFonts w:ascii="Book Antiqua" w:eastAsia="Times New Roman" w:hAnsi="Book Antiqua" w:cs="Times New Roman"/>
          <w:sz w:val="24"/>
          <w:szCs w:val="24"/>
        </w:rPr>
        <w:t>ałżeństwo licząc na przyjaźń z władcą Czech i wspólne działanie przeciw Związkowi Wieleckiemu - groźnemu sąsiadowi znad Bałtyku. Z Czech przybyli także pierwsi misjonarze. Wielokrotnie w historiografii podkreślano też, że książę Polan obawiał się ekspansji</w:t>
      </w:r>
      <w:r w:rsidRPr="003A6362">
        <w:rPr>
          <w:rFonts w:ascii="Book Antiqua" w:eastAsia="Times New Roman" w:hAnsi="Book Antiqua" w:cs="Times New Roman"/>
          <w:sz w:val="24"/>
          <w:szCs w:val="24"/>
        </w:rPr>
        <w:t xml:space="preserve"> niemieckiej, przed którą miało go uchronić porzucenie pogaństwa. Zagrożenie z tej strony istniało, o czym mogą świadczyć walki z margrabiami, jednak nie należy go wyolbrzymiać. Być może jednak największe znaczenie miał chrzest dla wewnętrznej polityki pań</w:t>
      </w:r>
      <w:r w:rsidRPr="003A6362">
        <w:rPr>
          <w:rFonts w:ascii="Book Antiqua" w:eastAsia="Times New Roman" w:hAnsi="Book Antiqua" w:cs="Times New Roman"/>
          <w:sz w:val="24"/>
          <w:szCs w:val="24"/>
        </w:rPr>
        <w:t xml:space="preserve">stwa Polan, które podbijało sąsiednie plemiona, czczące lokalne bóstwa. Przyjęcie chrześcijaństwa sakralizującego władzę książęcą i królewską miało zintegrować młody organizm państwowy, umocnić władzę księcia. Wraz z chrześcijaństwem zaczęła rozwijać się </w:t>
      </w:r>
      <w:r w:rsidRPr="003A6362">
        <w:rPr>
          <w:rFonts w:ascii="Book Antiqua" w:eastAsia="Times New Roman" w:hAnsi="Book Antiqua" w:cs="Times New Roman"/>
          <w:sz w:val="24"/>
          <w:szCs w:val="24"/>
        </w:rPr>
        <w:lastRenderedPageBreak/>
        <w:t>t</w:t>
      </w:r>
      <w:r w:rsidRPr="003A6362">
        <w:rPr>
          <w:rFonts w:ascii="Book Antiqua" w:eastAsia="Times New Roman" w:hAnsi="Book Antiqua" w:cs="Times New Roman"/>
          <w:sz w:val="24"/>
          <w:szCs w:val="24"/>
        </w:rPr>
        <w:t>akże administracja kościelna, dostarczająca wsparcia nie tylko duchowego, ale także w zakresie rządzenia, gospodarki i - co najważniejsze - w kwestii przyjmowania zdobyczy cywilizacji zachodniej.</w:t>
      </w:r>
    </w:p>
    <w:p w:rsidR="003A6362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A6362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A6362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E5896" w:rsidRDefault="00AB04D8" w:rsidP="00F0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01603" w:rsidRPr="00CE5896" w:rsidRDefault="00AB04D8" w:rsidP="00F016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5896">
        <w:rPr>
          <w:rFonts w:ascii="Book Antiqua" w:eastAsia="Times New Roman" w:hAnsi="Book Antiqua" w:cs="Times New Roman"/>
          <w:b/>
          <w:bCs/>
          <w:sz w:val="36"/>
          <w:szCs w:val="36"/>
        </w:rPr>
        <w:lastRenderedPageBreak/>
        <w:t>C</w:t>
      </w:r>
      <w:r w:rsidRPr="00CE5896">
        <w:rPr>
          <w:rFonts w:ascii="Book Antiqua" w:eastAsia="Times New Roman" w:hAnsi="Book Antiqua" w:cs="Times New Roman"/>
          <w:b/>
          <w:bCs/>
          <w:sz w:val="36"/>
          <w:szCs w:val="36"/>
        </w:rPr>
        <w:t>ichociemni,</w:t>
      </w:r>
      <w:r w:rsidRPr="00CE589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legendarni polscy żołnierze, szkoleni podczas II wojny światowej w Wielkiej Brytanii i desantowani do okupowanej ojczyzny, by walczyć z nazistami. Ci partyzanci Polskich Sił Zbrojnych zostali patronami 2016 roku – zdecydowali posłowie. – Uczczeni zostaną </w:t>
      </w:r>
      <w:r w:rsidRPr="00CE5896">
        <w:rPr>
          <w:rFonts w:ascii="Book Antiqua" w:eastAsia="Times New Roman" w:hAnsi="Book Antiqua" w:cs="Times New Roman"/>
          <w:b/>
          <w:bCs/>
          <w:sz w:val="24"/>
          <w:szCs w:val="24"/>
        </w:rPr>
        <w:t>wielcy bohaterowie –</w:t>
      </w:r>
      <w:r w:rsidRPr="00CE5896">
        <w:rPr>
          <w:rFonts w:ascii="Book Antiqua" w:eastAsia="Times New Roman" w:hAnsi="Book Antiqua" w:cs="Times New Roman"/>
          <w:b/>
          <w:bCs/>
          <w:noProof/>
          <w:sz w:val="24"/>
          <w:szCs w:val="24"/>
        </w:rPr>
        <w:drawing>
          <wp:inline distT="0" distB="0" distL="0" distR="0">
            <wp:extent cx="7620000" cy="5076825"/>
            <wp:effectExtent l="19050" t="0" r="0" b="0"/>
            <wp:docPr id="1" name="Obraz 1" descr="http://www.polska-zbrojna.pl/imageslibrary/GetImage/4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ska-zbrojna.pl/imageslibrary/GetImage/438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03" w:rsidRPr="00CE5896" w:rsidRDefault="00AB04D8" w:rsidP="00F016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CE5896">
        <w:rPr>
          <w:rFonts w:ascii="Book Antiqua" w:eastAsia="Times New Roman" w:hAnsi="Book Antiqua" w:cs="Times New Roman"/>
          <w:sz w:val="24"/>
          <w:szCs w:val="24"/>
        </w:rPr>
        <w:t>„Sejm Rzeczypospolitej Polskiej, aby oddać hołd wszystkim Cichociemnym, którym należy się szacunek całego Narodu, oraz aby przekazać pamięć o Nich kolejnym pokoleniom, ogłasza rok 2016 Rokiem Cichociemnych” – zaznaczono w uchwale, zap</w:t>
      </w:r>
      <w:r w:rsidRPr="00CE5896">
        <w:rPr>
          <w:rFonts w:ascii="Book Antiqua" w:eastAsia="Times New Roman" w:hAnsi="Book Antiqua" w:cs="Times New Roman"/>
          <w:sz w:val="24"/>
          <w:szCs w:val="24"/>
        </w:rPr>
        <w:t>roponowanej przez posłów Prawa i Sprawiedliwość. Została przyjęta przez Sejm 414 głosami. Nikt nie głosował przeciwko, nikt nie wstrzymał się od głosu.</w:t>
      </w:r>
      <w:r w:rsidRPr="00CE5896">
        <w:rPr>
          <w:rFonts w:ascii="Book Antiqua" w:eastAsia="Times New Roman" w:hAnsi="Book Antiqua" w:cs="Times New Roman"/>
          <w:sz w:val="24"/>
          <w:szCs w:val="24"/>
        </w:rPr>
        <w:br/>
      </w:r>
      <w:r w:rsidRPr="00CE5896">
        <w:rPr>
          <w:rFonts w:ascii="Book Antiqua" w:eastAsia="Times New Roman" w:hAnsi="Book Antiqua" w:cs="Times New Roman"/>
          <w:sz w:val="24"/>
          <w:szCs w:val="24"/>
        </w:rPr>
        <w:br/>
        <w:t>Cichociemni to specjalnie szkoleni żołnierze polskiej armii, którzy w czasie II wojny światowej zrzucan</w:t>
      </w:r>
      <w:r w:rsidRPr="00CE5896">
        <w:rPr>
          <w:rFonts w:ascii="Book Antiqua" w:eastAsia="Times New Roman" w:hAnsi="Book Antiqua" w:cs="Times New Roman"/>
          <w:sz w:val="24"/>
          <w:szCs w:val="24"/>
        </w:rPr>
        <w:t>i byli na spadochronach na terytorium okupowanej Polski. Ich zadaniem była organizacja ruchu oporu i walka z okupantem. Cichociemnymi zostawali wyłącznie ochotnicy. Pierwszy lot i skoki odbyły się w nocy z 15 na 16 lutego 1941 roku. Do końca wojny do Polsk</w:t>
      </w:r>
      <w:r w:rsidRPr="00CE5896">
        <w:rPr>
          <w:rFonts w:ascii="Book Antiqua" w:eastAsia="Times New Roman" w:hAnsi="Book Antiqua" w:cs="Times New Roman"/>
          <w:sz w:val="24"/>
          <w:szCs w:val="24"/>
        </w:rPr>
        <w:t xml:space="preserve">i tą drogą trafiło 316 żołnierzy. Wśród nich byli m.in. gen. bryg. Leopold Okulicki „Niedźwiadek”, mjr Jan </w:t>
      </w:r>
      <w:proofErr w:type="spellStart"/>
      <w:r w:rsidRPr="00CE5896">
        <w:rPr>
          <w:rFonts w:ascii="Book Antiqua" w:eastAsia="Times New Roman" w:hAnsi="Book Antiqua" w:cs="Times New Roman"/>
          <w:sz w:val="24"/>
          <w:szCs w:val="24"/>
        </w:rPr>
        <w:t>Piwnik</w:t>
      </w:r>
      <w:proofErr w:type="spellEnd"/>
      <w:r w:rsidRPr="00CE5896">
        <w:rPr>
          <w:rFonts w:ascii="Book Antiqua" w:eastAsia="Times New Roman" w:hAnsi="Book Antiqua" w:cs="Times New Roman"/>
          <w:sz w:val="24"/>
          <w:szCs w:val="24"/>
        </w:rPr>
        <w:t xml:space="preserve"> „Ponury”, Jan Nowak Jeziorański oraz Elżbieta </w:t>
      </w:r>
      <w:proofErr w:type="spellStart"/>
      <w:r w:rsidRPr="00CE5896">
        <w:rPr>
          <w:rFonts w:ascii="Book Antiqua" w:eastAsia="Times New Roman" w:hAnsi="Book Antiqua" w:cs="Times New Roman"/>
          <w:sz w:val="24"/>
          <w:szCs w:val="24"/>
        </w:rPr>
        <w:t>Zawacka</w:t>
      </w:r>
      <w:proofErr w:type="spellEnd"/>
      <w:r w:rsidRPr="00CE5896">
        <w:rPr>
          <w:rFonts w:ascii="Book Antiqua" w:eastAsia="Times New Roman" w:hAnsi="Book Antiqua" w:cs="Times New Roman"/>
          <w:sz w:val="24"/>
          <w:szCs w:val="24"/>
        </w:rPr>
        <w:t xml:space="preserve"> „</w:t>
      </w:r>
      <w:proofErr w:type="spellStart"/>
      <w:r w:rsidRPr="00CE5896">
        <w:rPr>
          <w:rFonts w:ascii="Book Antiqua" w:eastAsia="Times New Roman" w:hAnsi="Book Antiqua" w:cs="Times New Roman"/>
          <w:sz w:val="24"/>
          <w:szCs w:val="24"/>
        </w:rPr>
        <w:t>Zo</w:t>
      </w:r>
      <w:proofErr w:type="spellEnd"/>
      <w:r w:rsidRPr="00CE5896">
        <w:rPr>
          <w:rFonts w:ascii="Book Antiqua" w:eastAsia="Times New Roman" w:hAnsi="Book Antiqua" w:cs="Times New Roman"/>
          <w:sz w:val="24"/>
          <w:szCs w:val="24"/>
        </w:rPr>
        <w:t xml:space="preserve">” – jedyna kobieta w tej </w:t>
      </w:r>
      <w:r w:rsidRPr="00CE5896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formacji. Tradycje cichociemnych przejęli żołnierze GROM-u, </w:t>
      </w:r>
      <w:r w:rsidRPr="00CE5896">
        <w:rPr>
          <w:rFonts w:ascii="Book Antiqua" w:eastAsia="Times New Roman" w:hAnsi="Book Antiqua" w:cs="Times New Roman"/>
          <w:sz w:val="24"/>
          <w:szCs w:val="24"/>
        </w:rPr>
        <w:t>którzy co roku spotykają się z żyjącymi cichociemnymi oraz ich rodzinami.</w:t>
      </w:r>
    </w:p>
    <w:p w:rsidR="002A78D2" w:rsidRPr="00CE5896" w:rsidRDefault="00AB04D8" w:rsidP="002A78D2">
      <w:pPr>
        <w:rPr>
          <w:rFonts w:ascii="Book Antiqua" w:hAnsi="Book Antiqua"/>
        </w:rPr>
      </w:pPr>
      <w:r w:rsidRPr="00CE5896">
        <w:rPr>
          <w:rFonts w:ascii="Book Antiqua" w:hAnsi="Book Antiqua"/>
        </w:rPr>
        <w:t xml:space="preserve"> </w:t>
      </w:r>
    </w:p>
    <w:sectPr w:rsidR="002A78D2" w:rsidRPr="00CE5896" w:rsidSect="0037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64C"/>
    <w:multiLevelType w:val="multilevel"/>
    <w:tmpl w:val="AF8E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C5B96"/>
    <w:rsid w:val="00AB04D8"/>
    <w:rsid w:val="00D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ichociemni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Feliks_Nowowiejski" TargetMode="External"/><Relationship Id="rId12" Type="http://schemas.openxmlformats.org/officeDocument/2006/relationships/hyperlink" Target="http://wiadomosci.wp.pl/query,rok,szukaj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bchody_1050-lecia_chrztu_Polsk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l.wikipedia.org/wiki/Henryk_Sienkiewicz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iadomosci.wp.pl/query,pisarz,szukaj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2016-05-22T20:19:00Z</dcterms:created>
  <dcterms:modified xsi:type="dcterms:W3CDTF">2016-05-22T20:20:00Z</dcterms:modified>
</cp:coreProperties>
</file>